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8A8" w:rsidRPr="00050311" w:rsidRDefault="000868A8" w:rsidP="000868A8">
      <w:pPr>
        <w:bidi/>
        <w:spacing w:before="100" w:beforeAutospacing="1" w:after="165" w:line="240" w:lineRule="auto"/>
        <w:rPr>
          <w:rFonts w:ascii="Times New Roman" w:eastAsia="Times New Roman" w:hAnsi="Times New Roman" w:cs="B Nazanin"/>
          <w:b/>
          <w:bCs/>
          <w:color w:val="000000" w:themeColor="text1"/>
          <w:sz w:val="28"/>
          <w:szCs w:val="28"/>
          <w:rtl/>
        </w:rPr>
      </w:pPr>
      <w:bookmarkStart w:id="0" w:name="_GoBack"/>
      <w:r w:rsidRPr="00050311">
        <w:rPr>
          <w:rFonts w:ascii="Calibri" w:eastAsia="Times New Roman" w:hAnsi="Calibri" w:cs="B Nazanin" w:hint="cs"/>
          <w:b/>
          <w:bCs/>
          <w:color w:val="000000" w:themeColor="text1"/>
          <w:sz w:val="28"/>
          <w:szCs w:val="28"/>
          <w:rtl/>
          <w:lang w:bidi="fa-IR"/>
        </w:rPr>
        <w:t>رتبه‌بندی جهانی دانشگاه‌های جهان اسلام</w:t>
      </w:r>
      <w:r w:rsidRPr="00050311">
        <w:rPr>
          <w:rFonts w:ascii="Arial" w:eastAsia="Times New Roman" w:hAnsi="Arial" w:cs="B Nazanin"/>
          <w:b/>
          <w:bCs/>
          <w:color w:val="000000" w:themeColor="text1"/>
          <w:sz w:val="28"/>
          <w:szCs w:val="28"/>
          <w:rtl/>
        </w:rPr>
        <w:t xml:space="preserve"> (</w:t>
      </w:r>
      <w:r w:rsidRPr="00050311">
        <w:rPr>
          <w:rFonts w:ascii="Arial" w:eastAsia="Times New Roman" w:hAnsi="Arial" w:cs="B Nazanin"/>
          <w:b/>
          <w:bCs/>
          <w:color w:val="000000" w:themeColor="text1"/>
          <w:sz w:val="28"/>
          <w:szCs w:val="28"/>
        </w:rPr>
        <w:t>ISC</w:t>
      </w:r>
      <w:r w:rsidRPr="00050311">
        <w:rPr>
          <w:rFonts w:ascii="Arial" w:eastAsia="Times New Roman" w:hAnsi="Arial" w:cs="B Nazanin"/>
          <w:b/>
          <w:bCs/>
          <w:color w:val="000000" w:themeColor="text1"/>
          <w:sz w:val="28"/>
          <w:szCs w:val="28"/>
          <w:rtl/>
        </w:rPr>
        <w:t>)</w:t>
      </w:r>
    </w:p>
    <w:bookmarkEnd w:id="0"/>
    <w:p w:rsidR="000868A8" w:rsidRPr="0083224F" w:rsidRDefault="000868A8" w:rsidP="000868A8">
      <w:pPr>
        <w:bidi/>
        <w:spacing w:before="100" w:beforeAutospacing="1" w:after="165" w:line="240" w:lineRule="auto"/>
        <w:rPr>
          <w:rFonts w:ascii="Times New Roman" w:eastAsia="Times New Roman" w:hAnsi="Times New Roman" w:cs="B Nazanin"/>
          <w:color w:val="000000" w:themeColor="text1"/>
          <w:sz w:val="28"/>
          <w:szCs w:val="28"/>
          <w:rtl/>
        </w:rPr>
      </w:pPr>
      <w:r w:rsidRPr="0083224F">
        <w:rPr>
          <w:rFonts w:ascii="Calibri" w:eastAsia="Times New Roman" w:hAnsi="Calibri" w:cs="B Nazanin" w:hint="cs"/>
          <w:color w:val="000000" w:themeColor="text1"/>
          <w:sz w:val="28"/>
          <w:szCs w:val="28"/>
          <w:rtl/>
          <w:lang w:bidi="fa-IR"/>
        </w:rPr>
        <w:t>نظام رتبه بندی دانشگاه‌های جهان اسلام سالانه دانشگاه جهان اسلام را با استفاده از پنج معیار پژوهشی، آموزشی، وجهه بین‌المللی، امکانات و فعالیت‌های اجتماعی- اقتصادی ارزیابی و رتبه بندی می‌نماید. شاخص‌های مورد استفاده در این نظام عبارتند از</w:t>
      </w:r>
      <w:r w:rsidRPr="0083224F">
        <w:rPr>
          <w:rFonts w:ascii="Arial" w:eastAsia="Times New Roman" w:hAnsi="Arial" w:cs="B Nazanin"/>
          <w:color w:val="000000" w:themeColor="text1"/>
          <w:sz w:val="28"/>
          <w:szCs w:val="28"/>
          <w:rtl/>
        </w:rPr>
        <w:t>:</w:t>
      </w:r>
    </w:p>
    <w:p w:rsidR="000868A8" w:rsidRPr="0083224F" w:rsidRDefault="000868A8" w:rsidP="005B2CDE">
      <w:pPr>
        <w:bidi/>
        <w:spacing w:before="100" w:beforeAutospacing="1" w:after="165" w:line="240" w:lineRule="auto"/>
        <w:rPr>
          <w:rFonts w:ascii="Times New Roman" w:eastAsia="Times New Roman" w:hAnsi="Times New Roman" w:cs="B Nazanin"/>
          <w:color w:val="000000" w:themeColor="text1"/>
          <w:sz w:val="28"/>
          <w:szCs w:val="28"/>
          <w:rtl/>
        </w:rPr>
      </w:pPr>
      <w:r w:rsidRPr="0083224F">
        <w:rPr>
          <w:rFonts w:ascii="Cambria" w:eastAsia="Times New Roman" w:hAnsi="Cambria" w:cs="Cambria" w:hint="cs"/>
          <w:color w:val="000000" w:themeColor="text1"/>
          <w:sz w:val="28"/>
          <w:szCs w:val="28"/>
          <w:rtl/>
        </w:rPr>
        <w:t> </w:t>
      </w:r>
      <w:r w:rsidRPr="0083224F">
        <w:rPr>
          <w:rFonts w:ascii="Calibri" w:eastAsia="Times New Roman" w:hAnsi="Calibri" w:cs="B Nazanin" w:hint="cs"/>
          <w:b/>
          <w:bCs/>
          <w:color w:val="000000" w:themeColor="text1"/>
          <w:sz w:val="28"/>
          <w:szCs w:val="28"/>
          <w:rtl/>
          <w:lang w:bidi="fa-IR"/>
        </w:rPr>
        <w:t>پژوهشی</w:t>
      </w:r>
    </w:p>
    <w:p w:rsidR="000868A8" w:rsidRPr="0083224F" w:rsidRDefault="000868A8" w:rsidP="000868A8">
      <w:pPr>
        <w:numPr>
          <w:ilvl w:val="0"/>
          <w:numId w:val="1"/>
        </w:numPr>
        <w:bidi/>
        <w:spacing w:before="100" w:beforeAutospacing="1" w:after="165" w:line="240" w:lineRule="auto"/>
        <w:ind w:right="720"/>
        <w:rPr>
          <w:rFonts w:ascii="Times New Roman" w:eastAsia="Times New Roman" w:hAnsi="Times New Roman" w:cs="B Nazanin"/>
          <w:color w:val="000000" w:themeColor="text1"/>
          <w:sz w:val="28"/>
          <w:szCs w:val="28"/>
          <w:rtl/>
        </w:rPr>
      </w:pPr>
      <w:r w:rsidRPr="0083224F">
        <w:rPr>
          <w:rFonts w:ascii="Calibri" w:eastAsia="Times New Roman" w:hAnsi="Calibri" w:cs="B Nazanin" w:hint="cs"/>
          <w:color w:val="000000" w:themeColor="text1"/>
          <w:sz w:val="28"/>
          <w:szCs w:val="28"/>
          <w:rtl/>
          <w:lang w:bidi="fa-IR"/>
        </w:rPr>
        <w:t>کیفیت پژوهش: این شاخص برای ارزیابی کیفیت پژوهش‌های صورت گرفته مورد استفاده قرار گرفته و از تقسیم استنادات دریافتی مقالات تولید شده توسط دانشگاه در یک بازه زمانی مشخص بر کل مقالات تولید شده دریک بازه زمانی معین به دست می‌آید (وزن ۱۵ درصد).</w:t>
      </w:r>
    </w:p>
    <w:p w:rsidR="000868A8" w:rsidRPr="0083224F" w:rsidRDefault="000868A8" w:rsidP="000868A8">
      <w:pPr>
        <w:numPr>
          <w:ilvl w:val="0"/>
          <w:numId w:val="1"/>
        </w:numPr>
        <w:bidi/>
        <w:spacing w:before="100" w:beforeAutospacing="1" w:after="165" w:line="240" w:lineRule="auto"/>
        <w:ind w:right="720"/>
        <w:rPr>
          <w:rFonts w:ascii="Times New Roman" w:eastAsia="Times New Roman" w:hAnsi="Times New Roman" w:cs="B Nazanin"/>
          <w:color w:val="000000" w:themeColor="text1"/>
          <w:sz w:val="28"/>
          <w:szCs w:val="28"/>
        </w:rPr>
      </w:pPr>
      <w:r w:rsidRPr="0083224F">
        <w:rPr>
          <w:rFonts w:ascii="Calibri" w:eastAsia="Times New Roman" w:hAnsi="Calibri" w:cs="B Nazanin" w:hint="cs"/>
          <w:color w:val="000000" w:themeColor="text1"/>
          <w:sz w:val="28"/>
          <w:szCs w:val="28"/>
          <w:rtl/>
          <w:lang w:bidi="fa-IR"/>
        </w:rPr>
        <w:t>کارایی پژوهش: این شاخص برای ارزیابی کارایی پژوهشی اعضای هیئت علمی دانشگاه است و از طریق تقسیم تعداد مقالات تولید شده در بازه زمانی معین بر تعداد اعضای هیئت علمی به دست می‌آید (وزن ۱۵ درصد).</w:t>
      </w:r>
    </w:p>
    <w:p w:rsidR="000868A8" w:rsidRPr="0083224F" w:rsidRDefault="000868A8" w:rsidP="000868A8">
      <w:pPr>
        <w:numPr>
          <w:ilvl w:val="0"/>
          <w:numId w:val="1"/>
        </w:numPr>
        <w:bidi/>
        <w:spacing w:before="100" w:beforeAutospacing="1" w:after="165" w:line="240" w:lineRule="auto"/>
        <w:ind w:right="720"/>
        <w:rPr>
          <w:rFonts w:ascii="Times New Roman" w:eastAsia="Times New Roman" w:hAnsi="Times New Roman" w:cs="B Nazanin"/>
          <w:color w:val="000000" w:themeColor="text1"/>
          <w:sz w:val="28"/>
          <w:szCs w:val="28"/>
        </w:rPr>
      </w:pPr>
      <w:r w:rsidRPr="0083224F">
        <w:rPr>
          <w:rFonts w:ascii="Calibri" w:eastAsia="Times New Roman" w:hAnsi="Calibri" w:cs="B Nazanin" w:hint="cs"/>
          <w:color w:val="000000" w:themeColor="text1"/>
          <w:sz w:val="28"/>
          <w:szCs w:val="28"/>
          <w:rtl/>
          <w:lang w:bidi="fa-IR"/>
        </w:rPr>
        <w:t>حجم پژوهش: تعداد مقالات تولید شده توسط اعضای هیئت علمی دانشگاه (وزن ۸).</w:t>
      </w:r>
    </w:p>
    <w:p w:rsidR="000868A8" w:rsidRPr="0083224F" w:rsidRDefault="000868A8" w:rsidP="000868A8">
      <w:pPr>
        <w:numPr>
          <w:ilvl w:val="0"/>
          <w:numId w:val="1"/>
        </w:numPr>
        <w:bidi/>
        <w:spacing w:before="100" w:beforeAutospacing="1" w:after="165" w:line="240" w:lineRule="auto"/>
        <w:ind w:right="720"/>
        <w:rPr>
          <w:rFonts w:ascii="Times New Roman" w:eastAsia="Times New Roman" w:hAnsi="Times New Roman" w:cs="B Nazanin"/>
          <w:color w:val="000000" w:themeColor="text1"/>
          <w:sz w:val="28"/>
          <w:szCs w:val="28"/>
        </w:rPr>
      </w:pPr>
      <w:r w:rsidRPr="0083224F">
        <w:rPr>
          <w:rFonts w:ascii="Calibri" w:eastAsia="Times New Roman" w:hAnsi="Calibri" w:cs="B Nazanin" w:hint="cs"/>
          <w:color w:val="000000" w:themeColor="text1"/>
          <w:sz w:val="28"/>
          <w:szCs w:val="28"/>
          <w:rtl/>
          <w:lang w:bidi="fa-IR"/>
        </w:rPr>
        <w:t>نرخ رشد کیفی پژوهش: این شاخص میزان پیشرفت کیفیت پژوهش‌های انجام شده توسط دانشگاه را مورد بررسی قرار می‌دهد (وزن ۵).</w:t>
      </w:r>
    </w:p>
    <w:p w:rsidR="000868A8" w:rsidRPr="0083224F" w:rsidRDefault="000868A8" w:rsidP="000868A8">
      <w:pPr>
        <w:numPr>
          <w:ilvl w:val="0"/>
          <w:numId w:val="1"/>
        </w:numPr>
        <w:bidi/>
        <w:spacing w:before="100" w:beforeAutospacing="1" w:after="165" w:line="240" w:lineRule="auto"/>
        <w:ind w:right="720"/>
        <w:rPr>
          <w:rFonts w:ascii="Times New Roman" w:eastAsia="Times New Roman" w:hAnsi="Times New Roman" w:cs="B Nazanin"/>
          <w:color w:val="000000" w:themeColor="text1"/>
          <w:sz w:val="28"/>
          <w:szCs w:val="28"/>
        </w:rPr>
      </w:pPr>
      <w:r w:rsidRPr="0083224F">
        <w:rPr>
          <w:rFonts w:ascii="Calibri" w:eastAsia="Times New Roman" w:hAnsi="Calibri" w:cs="B Nazanin" w:hint="cs"/>
          <w:color w:val="000000" w:themeColor="text1"/>
          <w:sz w:val="28"/>
          <w:szCs w:val="28"/>
          <w:rtl/>
          <w:lang w:bidi="fa-IR"/>
        </w:rPr>
        <w:t>نرخ رشد کارایی پژوهش: این شاخص برای بررسی میزان پیشرفت کارایی پژوهشی اعضای هیئت علمی در یک بازه زمانی ۳ ساله استفاده می‌شود (وزن ۵).</w:t>
      </w:r>
    </w:p>
    <w:p w:rsidR="000868A8" w:rsidRPr="0083224F" w:rsidRDefault="000868A8" w:rsidP="000868A8">
      <w:pPr>
        <w:numPr>
          <w:ilvl w:val="0"/>
          <w:numId w:val="1"/>
        </w:numPr>
        <w:bidi/>
        <w:spacing w:before="100" w:beforeAutospacing="1" w:after="165" w:line="240" w:lineRule="auto"/>
        <w:ind w:right="720"/>
        <w:rPr>
          <w:rFonts w:ascii="Times New Roman" w:eastAsia="Times New Roman" w:hAnsi="Times New Roman" w:cs="B Nazanin"/>
          <w:color w:val="000000" w:themeColor="text1"/>
          <w:sz w:val="28"/>
          <w:szCs w:val="28"/>
        </w:rPr>
      </w:pPr>
      <w:r w:rsidRPr="0083224F">
        <w:rPr>
          <w:rFonts w:ascii="Calibri" w:eastAsia="Times New Roman" w:hAnsi="Calibri" w:cs="B Nazanin" w:hint="cs"/>
          <w:color w:val="000000" w:themeColor="text1"/>
          <w:sz w:val="28"/>
          <w:szCs w:val="28"/>
          <w:rtl/>
          <w:lang w:bidi="fa-IR"/>
        </w:rPr>
        <w:t>جوایز: تعداد جوایزی که توسط دانشگاه مربوطه کسب شده است (وزن ۲).</w:t>
      </w:r>
    </w:p>
    <w:p w:rsidR="000868A8" w:rsidRPr="0083224F" w:rsidRDefault="000868A8" w:rsidP="005B2CDE">
      <w:pPr>
        <w:bidi/>
        <w:spacing w:before="100" w:beforeAutospacing="1" w:after="165" w:line="240" w:lineRule="auto"/>
        <w:rPr>
          <w:rFonts w:ascii="Times New Roman" w:eastAsia="Times New Roman" w:hAnsi="Times New Roman" w:cs="B Nazanin"/>
          <w:color w:val="000000" w:themeColor="text1"/>
          <w:sz w:val="28"/>
          <w:szCs w:val="28"/>
          <w:rtl/>
        </w:rPr>
      </w:pPr>
      <w:r w:rsidRPr="0083224F">
        <w:rPr>
          <w:rFonts w:ascii="Cambria" w:eastAsia="Times New Roman" w:hAnsi="Cambria" w:cs="Cambria" w:hint="cs"/>
          <w:color w:val="000000" w:themeColor="text1"/>
          <w:sz w:val="28"/>
          <w:szCs w:val="28"/>
          <w:rtl/>
        </w:rPr>
        <w:t> </w:t>
      </w:r>
      <w:r w:rsidRPr="0083224F">
        <w:rPr>
          <w:rFonts w:ascii="Calibri" w:eastAsia="Times New Roman" w:hAnsi="Calibri" w:cs="B Nazanin" w:hint="cs"/>
          <w:b/>
          <w:bCs/>
          <w:color w:val="000000" w:themeColor="text1"/>
          <w:sz w:val="28"/>
          <w:szCs w:val="28"/>
          <w:rtl/>
          <w:lang w:bidi="fa-IR"/>
        </w:rPr>
        <w:t>آموزشی</w:t>
      </w:r>
    </w:p>
    <w:p w:rsidR="000868A8" w:rsidRPr="0083224F" w:rsidRDefault="000868A8" w:rsidP="000868A8">
      <w:pPr>
        <w:numPr>
          <w:ilvl w:val="0"/>
          <w:numId w:val="2"/>
        </w:numPr>
        <w:bidi/>
        <w:spacing w:before="100" w:beforeAutospacing="1" w:after="165" w:line="240" w:lineRule="auto"/>
        <w:ind w:right="720"/>
        <w:rPr>
          <w:rFonts w:ascii="Times New Roman" w:eastAsia="Times New Roman" w:hAnsi="Times New Roman" w:cs="B Nazanin"/>
          <w:color w:val="000000" w:themeColor="text1"/>
          <w:sz w:val="28"/>
          <w:szCs w:val="28"/>
          <w:rtl/>
        </w:rPr>
      </w:pPr>
      <w:r w:rsidRPr="0083224F">
        <w:rPr>
          <w:rFonts w:ascii="Calibri" w:eastAsia="Times New Roman" w:hAnsi="Calibri" w:cs="B Nazanin" w:hint="cs"/>
          <w:color w:val="000000" w:themeColor="text1"/>
          <w:sz w:val="28"/>
          <w:szCs w:val="28"/>
          <w:rtl/>
          <w:lang w:bidi="fa-IR"/>
        </w:rPr>
        <w:t>اعضای هیئت علمی دارای جایزه: تعداد جوایزی که توسط اعضای هیئت علمی دانشگاه کسب شده است (وزن ۶).</w:t>
      </w:r>
    </w:p>
    <w:p w:rsidR="000868A8" w:rsidRPr="0083224F" w:rsidRDefault="000868A8" w:rsidP="000868A8">
      <w:pPr>
        <w:numPr>
          <w:ilvl w:val="0"/>
          <w:numId w:val="2"/>
        </w:numPr>
        <w:bidi/>
        <w:spacing w:before="100" w:beforeAutospacing="1" w:after="165" w:line="240" w:lineRule="auto"/>
        <w:ind w:right="720"/>
        <w:rPr>
          <w:rFonts w:ascii="Times New Roman" w:eastAsia="Times New Roman" w:hAnsi="Times New Roman" w:cs="B Nazanin"/>
          <w:color w:val="000000" w:themeColor="text1"/>
          <w:sz w:val="28"/>
          <w:szCs w:val="28"/>
        </w:rPr>
      </w:pPr>
      <w:r w:rsidRPr="0083224F">
        <w:rPr>
          <w:rFonts w:ascii="Calibri" w:eastAsia="Times New Roman" w:hAnsi="Calibri" w:cs="B Nazanin" w:hint="cs"/>
          <w:color w:val="000000" w:themeColor="text1"/>
          <w:sz w:val="28"/>
          <w:szCs w:val="28"/>
          <w:rtl/>
          <w:lang w:bidi="fa-IR"/>
        </w:rPr>
        <w:t>اساتید پراستناد: تعداد اعضای هیئت علمی دانشگاه که براساس استناداردهای</w:t>
      </w:r>
      <w:r w:rsidRPr="0083224F">
        <w:rPr>
          <w:rFonts w:ascii="Arial" w:eastAsia="Times New Roman" w:hAnsi="Arial" w:cs="B Nazanin"/>
          <w:color w:val="000000" w:themeColor="text1"/>
          <w:sz w:val="28"/>
          <w:szCs w:val="28"/>
          <w:rtl/>
        </w:rPr>
        <w:t xml:space="preserve"> </w:t>
      </w:r>
      <w:r w:rsidRPr="0083224F">
        <w:rPr>
          <w:rFonts w:ascii="Arial" w:eastAsia="Times New Roman" w:hAnsi="Arial" w:cs="B Nazanin"/>
          <w:color w:val="000000" w:themeColor="text1"/>
          <w:sz w:val="28"/>
          <w:szCs w:val="28"/>
        </w:rPr>
        <w:t>ISI</w:t>
      </w:r>
      <w:r w:rsidRPr="0083224F">
        <w:rPr>
          <w:rFonts w:ascii="Calibri" w:eastAsia="Times New Roman" w:hAnsi="Calibri" w:cs="B Nazanin" w:hint="cs"/>
          <w:color w:val="000000" w:themeColor="text1"/>
          <w:sz w:val="28"/>
          <w:szCs w:val="28"/>
          <w:rtl/>
          <w:lang w:bidi="fa-IR"/>
        </w:rPr>
        <w:t xml:space="preserve"> و</w:t>
      </w:r>
      <w:r w:rsidRPr="0083224F">
        <w:rPr>
          <w:rFonts w:ascii="Arial" w:eastAsia="Times New Roman" w:hAnsi="Arial" w:cs="B Nazanin"/>
          <w:color w:val="000000" w:themeColor="text1"/>
          <w:sz w:val="28"/>
          <w:szCs w:val="28"/>
          <w:rtl/>
        </w:rPr>
        <w:t xml:space="preserve"> </w:t>
      </w:r>
      <w:r w:rsidRPr="0083224F">
        <w:rPr>
          <w:rFonts w:ascii="Arial" w:eastAsia="Times New Roman" w:hAnsi="Arial" w:cs="B Nazanin"/>
          <w:color w:val="000000" w:themeColor="text1"/>
          <w:sz w:val="28"/>
          <w:szCs w:val="28"/>
        </w:rPr>
        <w:t>OIC</w:t>
      </w:r>
      <w:r w:rsidRPr="0083224F">
        <w:rPr>
          <w:rFonts w:ascii="Calibri" w:eastAsia="Times New Roman" w:hAnsi="Calibri" w:cs="B Nazanin" w:hint="cs"/>
          <w:color w:val="000000" w:themeColor="text1"/>
          <w:sz w:val="28"/>
          <w:szCs w:val="28"/>
          <w:rtl/>
        </w:rPr>
        <w:t xml:space="preserve"> در میان نویسندگان پراستناد قرار دارند (وزن </w:t>
      </w:r>
      <w:r w:rsidRPr="0083224F">
        <w:rPr>
          <w:rFonts w:ascii="Calibri" w:eastAsia="Times New Roman" w:hAnsi="Calibri" w:cs="B Nazanin" w:hint="cs"/>
          <w:color w:val="000000" w:themeColor="text1"/>
          <w:sz w:val="28"/>
          <w:szCs w:val="28"/>
          <w:rtl/>
          <w:lang w:bidi="fa-IR"/>
        </w:rPr>
        <w:t>۸).</w:t>
      </w:r>
    </w:p>
    <w:p w:rsidR="000868A8" w:rsidRPr="0083224F" w:rsidRDefault="000868A8" w:rsidP="000868A8">
      <w:pPr>
        <w:numPr>
          <w:ilvl w:val="0"/>
          <w:numId w:val="2"/>
        </w:numPr>
        <w:bidi/>
        <w:spacing w:before="100" w:beforeAutospacing="1" w:after="165" w:line="240" w:lineRule="auto"/>
        <w:ind w:right="720"/>
        <w:rPr>
          <w:rFonts w:ascii="Times New Roman" w:eastAsia="Times New Roman" w:hAnsi="Times New Roman" w:cs="B Nazanin"/>
          <w:color w:val="000000" w:themeColor="text1"/>
          <w:sz w:val="28"/>
          <w:szCs w:val="28"/>
        </w:rPr>
      </w:pPr>
      <w:r w:rsidRPr="0083224F">
        <w:rPr>
          <w:rFonts w:ascii="Calibri" w:eastAsia="Times New Roman" w:hAnsi="Calibri" w:cs="B Nazanin" w:hint="cs"/>
          <w:color w:val="000000" w:themeColor="text1"/>
          <w:sz w:val="28"/>
          <w:szCs w:val="28"/>
          <w:rtl/>
          <w:lang w:bidi="fa-IR"/>
        </w:rPr>
        <w:t>نسبت اعضای هیئت علمی دارای دکترا به کل اعضای هیئت علمی (وزن ۴).</w:t>
      </w:r>
    </w:p>
    <w:p w:rsidR="000868A8" w:rsidRPr="0083224F" w:rsidRDefault="000868A8" w:rsidP="000868A8">
      <w:pPr>
        <w:numPr>
          <w:ilvl w:val="0"/>
          <w:numId w:val="2"/>
        </w:numPr>
        <w:bidi/>
        <w:spacing w:before="100" w:beforeAutospacing="1" w:after="165" w:line="240" w:lineRule="auto"/>
        <w:ind w:right="720"/>
        <w:rPr>
          <w:rFonts w:ascii="Times New Roman" w:eastAsia="Times New Roman" w:hAnsi="Times New Roman" w:cs="B Nazanin"/>
          <w:color w:val="000000" w:themeColor="text1"/>
          <w:sz w:val="28"/>
          <w:szCs w:val="28"/>
        </w:rPr>
      </w:pPr>
      <w:r w:rsidRPr="0083224F">
        <w:rPr>
          <w:rFonts w:ascii="Calibri" w:eastAsia="Times New Roman" w:hAnsi="Calibri" w:cs="B Nazanin" w:hint="cs"/>
          <w:color w:val="000000" w:themeColor="text1"/>
          <w:sz w:val="28"/>
          <w:szCs w:val="28"/>
          <w:rtl/>
          <w:lang w:bidi="fa-IR"/>
        </w:rPr>
        <w:lastRenderedPageBreak/>
        <w:t>فارغ‌التحصیلان دارای جایزه: تعداد جوایزی که توسط فارغ‌التحصیلان دانشگاه کسب شده است (وزن ۳).</w:t>
      </w:r>
    </w:p>
    <w:p w:rsidR="000868A8" w:rsidRPr="0083224F" w:rsidRDefault="000868A8" w:rsidP="000868A8">
      <w:pPr>
        <w:numPr>
          <w:ilvl w:val="0"/>
          <w:numId w:val="2"/>
        </w:numPr>
        <w:bidi/>
        <w:spacing w:before="100" w:beforeAutospacing="1" w:after="165" w:line="240" w:lineRule="auto"/>
        <w:ind w:right="720"/>
        <w:rPr>
          <w:rFonts w:ascii="Times New Roman" w:eastAsia="Times New Roman" w:hAnsi="Times New Roman" w:cs="B Nazanin"/>
          <w:color w:val="000000" w:themeColor="text1"/>
          <w:sz w:val="28"/>
          <w:szCs w:val="28"/>
        </w:rPr>
      </w:pPr>
      <w:r w:rsidRPr="0083224F">
        <w:rPr>
          <w:rFonts w:ascii="Calibri" w:eastAsia="Times New Roman" w:hAnsi="Calibri" w:cs="B Nazanin" w:hint="cs"/>
          <w:color w:val="000000" w:themeColor="text1"/>
          <w:sz w:val="28"/>
          <w:szCs w:val="28"/>
          <w:rtl/>
          <w:lang w:bidi="fa-IR"/>
        </w:rPr>
        <w:t>فارغ التحصیلان پراستناد: تعداد فارغ التحصیلان دانشگاه که براساس استانداردهای</w:t>
      </w:r>
      <w:r w:rsidRPr="0083224F">
        <w:rPr>
          <w:rFonts w:ascii="Arial" w:eastAsia="Times New Roman" w:hAnsi="Arial" w:cs="B Nazanin"/>
          <w:color w:val="000000" w:themeColor="text1"/>
          <w:sz w:val="28"/>
          <w:szCs w:val="28"/>
          <w:rtl/>
        </w:rPr>
        <w:t xml:space="preserve"> </w:t>
      </w:r>
      <w:r w:rsidRPr="0083224F">
        <w:rPr>
          <w:rFonts w:ascii="Arial" w:eastAsia="Times New Roman" w:hAnsi="Arial" w:cs="B Nazanin"/>
          <w:color w:val="000000" w:themeColor="text1"/>
          <w:sz w:val="28"/>
          <w:szCs w:val="28"/>
        </w:rPr>
        <w:t>ISI</w:t>
      </w:r>
      <w:r w:rsidRPr="0083224F">
        <w:rPr>
          <w:rFonts w:ascii="Calibri" w:eastAsia="Times New Roman" w:hAnsi="Calibri" w:cs="B Nazanin" w:hint="cs"/>
          <w:color w:val="000000" w:themeColor="text1"/>
          <w:sz w:val="28"/>
          <w:szCs w:val="28"/>
          <w:rtl/>
          <w:lang w:bidi="fa-IR"/>
        </w:rPr>
        <w:t xml:space="preserve"> و</w:t>
      </w:r>
      <w:r w:rsidRPr="0083224F">
        <w:rPr>
          <w:rFonts w:ascii="Arial" w:eastAsia="Times New Roman" w:hAnsi="Arial" w:cs="B Nazanin"/>
          <w:color w:val="000000" w:themeColor="text1"/>
          <w:sz w:val="28"/>
          <w:szCs w:val="28"/>
          <w:rtl/>
        </w:rPr>
        <w:t xml:space="preserve"> </w:t>
      </w:r>
      <w:r w:rsidRPr="0083224F">
        <w:rPr>
          <w:rFonts w:ascii="Arial" w:eastAsia="Times New Roman" w:hAnsi="Arial" w:cs="B Nazanin"/>
          <w:color w:val="000000" w:themeColor="text1"/>
          <w:sz w:val="28"/>
          <w:szCs w:val="28"/>
        </w:rPr>
        <w:t>OIC</w:t>
      </w:r>
      <w:r w:rsidRPr="0083224F">
        <w:rPr>
          <w:rFonts w:ascii="Calibri" w:eastAsia="Times New Roman" w:hAnsi="Calibri" w:cs="B Nazanin" w:hint="cs"/>
          <w:color w:val="000000" w:themeColor="text1"/>
          <w:sz w:val="28"/>
          <w:szCs w:val="28"/>
          <w:rtl/>
        </w:rPr>
        <w:t xml:space="preserve"> در میان نویسندگان پراستناد قرار دارند (وزن </w:t>
      </w:r>
      <w:r w:rsidRPr="0083224F">
        <w:rPr>
          <w:rFonts w:ascii="Calibri" w:eastAsia="Times New Roman" w:hAnsi="Calibri" w:cs="B Nazanin" w:hint="cs"/>
          <w:color w:val="000000" w:themeColor="text1"/>
          <w:sz w:val="28"/>
          <w:szCs w:val="28"/>
          <w:rtl/>
          <w:lang w:bidi="fa-IR"/>
        </w:rPr>
        <w:t>۳).</w:t>
      </w:r>
    </w:p>
    <w:p w:rsidR="000868A8" w:rsidRPr="0083224F" w:rsidRDefault="000868A8" w:rsidP="000868A8">
      <w:pPr>
        <w:numPr>
          <w:ilvl w:val="0"/>
          <w:numId w:val="2"/>
        </w:numPr>
        <w:bidi/>
        <w:spacing w:before="100" w:beforeAutospacing="1" w:after="165" w:line="240" w:lineRule="auto"/>
        <w:ind w:right="720"/>
        <w:rPr>
          <w:rFonts w:ascii="Times New Roman" w:eastAsia="Times New Roman" w:hAnsi="Times New Roman" w:cs="B Nazanin"/>
          <w:color w:val="000000" w:themeColor="text1"/>
          <w:sz w:val="28"/>
          <w:szCs w:val="28"/>
        </w:rPr>
      </w:pPr>
      <w:r w:rsidRPr="0083224F">
        <w:rPr>
          <w:rFonts w:ascii="Calibri" w:eastAsia="Times New Roman" w:hAnsi="Calibri" w:cs="B Nazanin" w:hint="cs"/>
          <w:color w:val="000000" w:themeColor="text1"/>
          <w:sz w:val="28"/>
          <w:szCs w:val="28"/>
          <w:rtl/>
          <w:lang w:bidi="fa-IR"/>
        </w:rPr>
        <w:t>نسبت اعضای هیئت علمی به دانشجو (وزن ۳).</w:t>
      </w:r>
    </w:p>
    <w:p w:rsidR="000868A8" w:rsidRPr="0083224F" w:rsidRDefault="000868A8" w:rsidP="000868A8">
      <w:pPr>
        <w:numPr>
          <w:ilvl w:val="0"/>
          <w:numId w:val="2"/>
        </w:numPr>
        <w:bidi/>
        <w:spacing w:before="100" w:beforeAutospacing="1" w:after="165" w:line="240" w:lineRule="auto"/>
        <w:ind w:right="720"/>
        <w:rPr>
          <w:rFonts w:ascii="Times New Roman" w:eastAsia="Times New Roman" w:hAnsi="Times New Roman" w:cs="B Nazanin"/>
          <w:color w:val="000000" w:themeColor="text1"/>
          <w:sz w:val="28"/>
          <w:szCs w:val="28"/>
        </w:rPr>
      </w:pPr>
      <w:r w:rsidRPr="0083224F">
        <w:rPr>
          <w:rFonts w:ascii="Calibri" w:eastAsia="Times New Roman" w:hAnsi="Calibri" w:cs="B Nazanin" w:hint="cs"/>
          <w:color w:val="000000" w:themeColor="text1"/>
          <w:sz w:val="28"/>
          <w:szCs w:val="28"/>
          <w:rtl/>
          <w:lang w:bidi="fa-IR"/>
        </w:rPr>
        <w:t>نسبت دانشجویان تحصیلات تکمیلی به کل دانشجویان (وزن ۳).</w:t>
      </w:r>
    </w:p>
    <w:p w:rsidR="000868A8" w:rsidRPr="0083224F" w:rsidRDefault="000868A8" w:rsidP="000868A8">
      <w:pPr>
        <w:numPr>
          <w:ilvl w:val="0"/>
          <w:numId w:val="2"/>
        </w:numPr>
        <w:bidi/>
        <w:spacing w:before="100" w:beforeAutospacing="1" w:after="165" w:line="240" w:lineRule="auto"/>
        <w:ind w:right="720"/>
        <w:rPr>
          <w:rFonts w:ascii="Times New Roman" w:eastAsia="Times New Roman" w:hAnsi="Times New Roman" w:cs="B Nazanin"/>
          <w:color w:val="000000" w:themeColor="text1"/>
          <w:sz w:val="28"/>
          <w:szCs w:val="28"/>
        </w:rPr>
      </w:pPr>
      <w:r w:rsidRPr="0083224F">
        <w:rPr>
          <w:rFonts w:ascii="Calibri" w:eastAsia="Times New Roman" w:hAnsi="Calibri" w:cs="B Nazanin" w:hint="cs"/>
          <w:color w:val="000000" w:themeColor="text1"/>
          <w:sz w:val="28"/>
          <w:szCs w:val="28"/>
          <w:rtl/>
          <w:lang w:bidi="fa-IR"/>
        </w:rPr>
        <w:t>نرخ رشد دانشجویان تحصیلات تکمیلی: جهت بررسی تلاش دانشگاه در جهت جذب دانشجویان تحصیلات تکمیلی است (وزن ۳).</w:t>
      </w:r>
    </w:p>
    <w:p w:rsidR="000868A8" w:rsidRPr="0083224F" w:rsidRDefault="000868A8" w:rsidP="000868A8">
      <w:pPr>
        <w:numPr>
          <w:ilvl w:val="0"/>
          <w:numId w:val="2"/>
        </w:numPr>
        <w:bidi/>
        <w:spacing w:before="100" w:beforeAutospacing="1" w:after="165" w:line="240" w:lineRule="auto"/>
        <w:ind w:right="720"/>
        <w:rPr>
          <w:rFonts w:ascii="Times New Roman" w:eastAsia="Times New Roman" w:hAnsi="Times New Roman" w:cs="B Nazanin"/>
          <w:color w:val="000000" w:themeColor="text1"/>
          <w:sz w:val="28"/>
          <w:szCs w:val="28"/>
        </w:rPr>
      </w:pPr>
      <w:r w:rsidRPr="0083224F">
        <w:rPr>
          <w:rFonts w:ascii="Calibri" w:eastAsia="Times New Roman" w:hAnsi="Calibri" w:cs="B Nazanin" w:hint="cs"/>
          <w:color w:val="000000" w:themeColor="text1"/>
          <w:sz w:val="28"/>
          <w:szCs w:val="28"/>
          <w:rtl/>
          <w:lang w:bidi="fa-IR"/>
        </w:rPr>
        <w:t>دانشجویان دارای جایزه در المپیادهای بین‌المللی (وزن ۳).</w:t>
      </w:r>
    </w:p>
    <w:p w:rsidR="000868A8" w:rsidRPr="0083224F" w:rsidRDefault="000868A8" w:rsidP="005B2CDE">
      <w:pPr>
        <w:bidi/>
        <w:spacing w:before="100" w:beforeAutospacing="1" w:after="165" w:line="240" w:lineRule="auto"/>
        <w:rPr>
          <w:rFonts w:ascii="Times New Roman" w:eastAsia="Times New Roman" w:hAnsi="Times New Roman" w:cs="B Nazanin"/>
          <w:color w:val="000000" w:themeColor="text1"/>
          <w:sz w:val="28"/>
          <w:szCs w:val="28"/>
          <w:rtl/>
        </w:rPr>
      </w:pPr>
      <w:r w:rsidRPr="0083224F">
        <w:rPr>
          <w:rFonts w:ascii="Cambria" w:eastAsia="Times New Roman" w:hAnsi="Cambria" w:cs="Cambria" w:hint="cs"/>
          <w:color w:val="000000" w:themeColor="text1"/>
          <w:sz w:val="28"/>
          <w:szCs w:val="28"/>
          <w:rtl/>
        </w:rPr>
        <w:t> </w:t>
      </w:r>
      <w:r w:rsidRPr="0083224F">
        <w:rPr>
          <w:rFonts w:ascii="Calibri" w:eastAsia="Times New Roman" w:hAnsi="Calibri" w:cs="B Nazanin" w:hint="cs"/>
          <w:b/>
          <w:bCs/>
          <w:color w:val="000000" w:themeColor="text1"/>
          <w:sz w:val="28"/>
          <w:szCs w:val="28"/>
          <w:rtl/>
          <w:lang w:bidi="fa-IR"/>
        </w:rPr>
        <w:t>وجهه بین‌المللی</w:t>
      </w:r>
    </w:p>
    <w:p w:rsidR="000868A8" w:rsidRPr="0083224F" w:rsidRDefault="000868A8" w:rsidP="000868A8">
      <w:pPr>
        <w:numPr>
          <w:ilvl w:val="0"/>
          <w:numId w:val="3"/>
        </w:numPr>
        <w:bidi/>
        <w:spacing w:before="100" w:beforeAutospacing="1" w:after="165" w:line="240" w:lineRule="auto"/>
        <w:ind w:right="720"/>
        <w:rPr>
          <w:rFonts w:ascii="Times New Roman" w:eastAsia="Times New Roman" w:hAnsi="Times New Roman" w:cs="B Nazanin"/>
          <w:color w:val="000000" w:themeColor="text1"/>
          <w:sz w:val="28"/>
          <w:szCs w:val="28"/>
          <w:rtl/>
        </w:rPr>
      </w:pPr>
      <w:r w:rsidRPr="0083224F">
        <w:rPr>
          <w:rFonts w:ascii="Calibri" w:eastAsia="Times New Roman" w:hAnsi="Calibri" w:cs="B Nazanin" w:hint="cs"/>
          <w:color w:val="000000" w:themeColor="text1"/>
          <w:sz w:val="28"/>
          <w:szCs w:val="28"/>
          <w:rtl/>
          <w:lang w:bidi="fa-IR"/>
        </w:rPr>
        <w:t>نسبت اعضای هیئت علمی بین‌المللی به کل اعضای هیئت علمی (وزن ۲).</w:t>
      </w:r>
    </w:p>
    <w:p w:rsidR="000868A8" w:rsidRPr="0083224F" w:rsidRDefault="000868A8" w:rsidP="000868A8">
      <w:pPr>
        <w:numPr>
          <w:ilvl w:val="0"/>
          <w:numId w:val="3"/>
        </w:numPr>
        <w:bidi/>
        <w:spacing w:before="100" w:beforeAutospacing="1" w:after="165" w:line="240" w:lineRule="auto"/>
        <w:ind w:right="720"/>
        <w:rPr>
          <w:rFonts w:ascii="Times New Roman" w:eastAsia="Times New Roman" w:hAnsi="Times New Roman" w:cs="B Nazanin"/>
          <w:color w:val="000000" w:themeColor="text1"/>
          <w:sz w:val="28"/>
          <w:szCs w:val="28"/>
        </w:rPr>
      </w:pPr>
      <w:r w:rsidRPr="0083224F">
        <w:rPr>
          <w:rFonts w:ascii="Calibri" w:eastAsia="Times New Roman" w:hAnsi="Calibri" w:cs="B Nazanin" w:hint="cs"/>
          <w:color w:val="000000" w:themeColor="text1"/>
          <w:sz w:val="28"/>
          <w:szCs w:val="28"/>
          <w:rtl/>
          <w:lang w:bidi="fa-IR"/>
        </w:rPr>
        <w:t>نسبت دانشجویان بین‌المللی به کل دانشجویان (وزن ۱).</w:t>
      </w:r>
    </w:p>
    <w:p w:rsidR="000868A8" w:rsidRPr="0083224F" w:rsidRDefault="000868A8" w:rsidP="000868A8">
      <w:pPr>
        <w:numPr>
          <w:ilvl w:val="0"/>
          <w:numId w:val="3"/>
        </w:numPr>
        <w:bidi/>
        <w:spacing w:before="100" w:beforeAutospacing="1" w:after="165" w:line="240" w:lineRule="auto"/>
        <w:ind w:right="720"/>
        <w:rPr>
          <w:rFonts w:ascii="Times New Roman" w:eastAsia="Times New Roman" w:hAnsi="Times New Roman" w:cs="B Nazanin"/>
          <w:color w:val="000000" w:themeColor="text1"/>
          <w:sz w:val="28"/>
          <w:szCs w:val="28"/>
        </w:rPr>
      </w:pPr>
      <w:r w:rsidRPr="0083224F">
        <w:rPr>
          <w:rFonts w:ascii="Calibri" w:eastAsia="Times New Roman" w:hAnsi="Calibri" w:cs="B Nazanin" w:hint="cs"/>
          <w:color w:val="000000" w:themeColor="text1"/>
          <w:sz w:val="28"/>
          <w:szCs w:val="28"/>
          <w:rtl/>
          <w:lang w:bidi="fa-IR"/>
        </w:rPr>
        <w:t>نسبت اعضای هیأت علمی داخلی دارای مدرک دکترا از خارج از کشور به کل اعضای هیأت علمی داخلی دارای مدرک دکترا (وزن ۵/۱).</w:t>
      </w:r>
    </w:p>
    <w:p w:rsidR="000868A8" w:rsidRPr="0083224F" w:rsidRDefault="000868A8" w:rsidP="000868A8">
      <w:pPr>
        <w:numPr>
          <w:ilvl w:val="0"/>
          <w:numId w:val="3"/>
        </w:numPr>
        <w:bidi/>
        <w:spacing w:before="100" w:beforeAutospacing="1" w:after="165" w:line="240" w:lineRule="auto"/>
        <w:ind w:right="720"/>
        <w:rPr>
          <w:rFonts w:ascii="Times New Roman" w:eastAsia="Times New Roman" w:hAnsi="Times New Roman" w:cs="B Nazanin"/>
          <w:color w:val="000000" w:themeColor="text1"/>
          <w:sz w:val="28"/>
          <w:szCs w:val="28"/>
        </w:rPr>
      </w:pPr>
      <w:r w:rsidRPr="0083224F">
        <w:rPr>
          <w:rFonts w:ascii="Calibri" w:eastAsia="Times New Roman" w:hAnsi="Calibri" w:cs="B Nazanin" w:hint="cs"/>
          <w:color w:val="000000" w:themeColor="text1"/>
          <w:sz w:val="28"/>
          <w:szCs w:val="28"/>
          <w:rtl/>
          <w:lang w:bidi="fa-IR"/>
        </w:rPr>
        <w:t>کارگاه‌ها و کنفرانس‌های بین المللی: تعداد کنفرانس‌ها و کارگاه‌های است که توسط دانشگاه سازماندهی و برگزار می‌شود و حداقل ۵ شرکت‌کننده از دانشگاه‌های خارج از کشور در ان حضور دارند (وزن ۵/۱).</w:t>
      </w:r>
    </w:p>
    <w:p w:rsidR="000868A8" w:rsidRPr="0083224F" w:rsidRDefault="000868A8" w:rsidP="000868A8">
      <w:pPr>
        <w:numPr>
          <w:ilvl w:val="0"/>
          <w:numId w:val="3"/>
        </w:numPr>
        <w:bidi/>
        <w:spacing w:before="100" w:beforeAutospacing="1" w:after="165" w:line="240" w:lineRule="auto"/>
        <w:ind w:right="720"/>
        <w:rPr>
          <w:rFonts w:ascii="Times New Roman" w:eastAsia="Times New Roman" w:hAnsi="Times New Roman" w:cs="B Nazanin"/>
          <w:color w:val="000000" w:themeColor="text1"/>
          <w:sz w:val="28"/>
          <w:szCs w:val="28"/>
        </w:rPr>
      </w:pPr>
      <w:r w:rsidRPr="0083224F">
        <w:rPr>
          <w:rFonts w:ascii="Calibri" w:eastAsia="Times New Roman" w:hAnsi="Calibri" w:cs="B Nazanin" w:hint="cs"/>
          <w:color w:val="000000" w:themeColor="text1"/>
          <w:sz w:val="28"/>
          <w:szCs w:val="28"/>
          <w:rtl/>
          <w:lang w:bidi="fa-IR"/>
        </w:rPr>
        <w:t>همکاری‌های بین المللی (وزن ۱).</w:t>
      </w:r>
    </w:p>
    <w:p w:rsidR="000868A8" w:rsidRPr="0083224F" w:rsidRDefault="000868A8" w:rsidP="005B2CDE">
      <w:pPr>
        <w:bidi/>
        <w:spacing w:before="100" w:beforeAutospacing="1" w:after="165" w:line="240" w:lineRule="auto"/>
        <w:rPr>
          <w:rFonts w:ascii="Times New Roman" w:eastAsia="Times New Roman" w:hAnsi="Times New Roman" w:cs="B Nazanin"/>
          <w:color w:val="000000" w:themeColor="text1"/>
          <w:sz w:val="28"/>
          <w:szCs w:val="28"/>
          <w:rtl/>
        </w:rPr>
      </w:pPr>
      <w:r w:rsidRPr="0083224F">
        <w:rPr>
          <w:rFonts w:ascii="Cambria" w:eastAsia="Times New Roman" w:hAnsi="Cambria" w:cs="Cambria" w:hint="cs"/>
          <w:color w:val="000000" w:themeColor="text1"/>
          <w:sz w:val="28"/>
          <w:szCs w:val="28"/>
          <w:rtl/>
        </w:rPr>
        <w:t> </w:t>
      </w:r>
      <w:r w:rsidRPr="0083224F">
        <w:rPr>
          <w:rFonts w:ascii="Calibri" w:eastAsia="Times New Roman" w:hAnsi="Calibri" w:cs="B Nazanin" w:hint="cs"/>
          <w:b/>
          <w:bCs/>
          <w:color w:val="000000" w:themeColor="text1"/>
          <w:sz w:val="28"/>
          <w:szCs w:val="28"/>
          <w:rtl/>
          <w:lang w:bidi="fa-IR"/>
        </w:rPr>
        <w:t>امکانات</w:t>
      </w:r>
    </w:p>
    <w:p w:rsidR="000868A8" w:rsidRPr="0083224F" w:rsidRDefault="000868A8" w:rsidP="000868A8">
      <w:pPr>
        <w:numPr>
          <w:ilvl w:val="0"/>
          <w:numId w:val="4"/>
        </w:numPr>
        <w:bidi/>
        <w:spacing w:before="100" w:beforeAutospacing="1" w:after="165" w:line="240" w:lineRule="auto"/>
        <w:ind w:right="720"/>
        <w:rPr>
          <w:rFonts w:ascii="Times New Roman" w:eastAsia="Times New Roman" w:hAnsi="Times New Roman" w:cs="B Nazanin"/>
          <w:color w:val="000000" w:themeColor="text1"/>
          <w:sz w:val="28"/>
          <w:szCs w:val="28"/>
          <w:rtl/>
        </w:rPr>
      </w:pPr>
      <w:r w:rsidRPr="0083224F">
        <w:rPr>
          <w:rFonts w:ascii="Calibri" w:eastAsia="Times New Roman" w:hAnsi="Calibri" w:cs="B Nazanin" w:hint="cs"/>
          <w:color w:val="000000" w:themeColor="text1"/>
          <w:sz w:val="28"/>
          <w:szCs w:val="28"/>
          <w:rtl/>
          <w:lang w:bidi="fa-IR"/>
        </w:rPr>
        <w:t>تعداد عناوین کتاب به ازای هر دانشجو (وزن ۱).</w:t>
      </w:r>
    </w:p>
    <w:p w:rsidR="000868A8" w:rsidRPr="0083224F" w:rsidRDefault="000868A8" w:rsidP="000868A8">
      <w:pPr>
        <w:numPr>
          <w:ilvl w:val="0"/>
          <w:numId w:val="4"/>
        </w:numPr>
        <w:bidi/>
        <w:spacing w:before="100" w:beforeAutospacing="1" w:after="165" w:line="240" w:lineRule="auto"/>
        <w:ind w:right="720"/>
        <w:rPr>
          <w:rFonts w:ascii="Times New Roman" w:eastAsia="Times New Roman" w:hAnsi="Times New Roman" w:cs="B Nazanin"/>
          <w:color w:val="000000" w:themeColor="text1"/>
          <w:sz w:val="28"/>
          <w:szCs w:val="28"/>
        </w:rPr>
      </w:pPr>
      <w:r w:rsidRPr="0083224F">
        <w:rPr>
          <w:rFonts w:ascii="Calibri" w:eastAsia="Times New Roman" w:hAnsi="Calibri" w:cs="B Nazanin" w:hint="cs"/>
          <w:color w:val="000000" w:themeColor="text1"/>
          <w:sz w:val="28"/>
          <w:szCs w:val="28"/>
          <w:rtl/>
          <w:lang w:bidi="fa-IR"/>
        </w:rPr>
        <w:t>تعداد مجلات و نشریات دوره‌ای (وزن ۱).</w:t>
      </w:r>
    </w:p>
    <w:p w:rsidR="000868A8" w:rsidRPr="0083224F" w:rsidRDefault="000868A8" w:rsidP="000868A8">
      <w:pPr>
        <w:numPr>
          <w:ilvl w:val="0"/>
          <w:numId w:val="4"/>
        </w:numPr>
        <w:bidi/>
        <w:spacing w:before="100" w:beforeAutospacing="1" w:after="165" w:line="240" w:lineRule="auto"/>
        <w:ind w:right="720"/>
        <w:rPr>
          <w:rFonts w:ascii="Times New Roman" w:eastAsia="Times New Roman" w:hAnsi="Times New Roman" w:cs="B Nazanin"/>
          <w:color w:val="000000" w:themeColor="text1"/>
          <w:sz w:val="28"/>
          <w:szCs w:val="28"/>
        </w:rPr>
      </w:pPr>
      <w:r w:rsidRPr="0083224F">
        <w:rPr>
          <w:rFonts w:ascii="Calibri" w:eastAsia="Times New Roman" w:hAnsi="Calibri" w:cs="B Nazanin" w:hint="cs"/>
          <w:color w:val="000000" w:themeColor="text1"/>
          <w:sz w:val="28"/>
          <w:szCs w:val="28"/>
          <w:rtl/>
          <w:lang w:bidi="fa-IR"/>
        </w:rPr>
        <w:t>تعداد موسسه‌ها و مراکز تحقیقاتی (وزن ۱).</w:t>
      </w:r>
    </w:p>
    <w:p w:rsidR="000868A8" w:rsidRPr="0083224F" w:rsidRDefault="000868A8" w:rsidP="000868A8">
      <w:pPr>
        <w:bidi/>
        <w:spacing w:before="100" w:beforeAutospacing="1" w:after="165" w:line="240" w:lineRule="auto"/>
        <w:rPr>
          <w:rFonts w:ascii="Times New Roman" w:eastAsia="Times New Roman" w:hAnsi="Times New Roman" w:cs="B Nazanin"/>
          <w:color w:val="000000" w:themeColor="text1"/>
          <w:sz w:val="28"/>
          <w:szCs w:val="28"/>
        </w:rPr>
      </w:pPr>
      <w:r w:rsidRPr="0083224F">
        <w:rPr>
          <w:rFonts w:ascii="Cambria" w:eastAsia="Times New Roman" w:hAnsi="Cambria" w:cs="Cambria" w:hint="cs"/>
          <w:color w:val="000000" w:themeColor="text1"/>
          <w:sz w:val="28"/>
          <w:szCs w:val="28"/>
          <w:rtl/>
        </w:rPr>
        <w:t> </w:t>
      </w:r>
    </w:p>
    <w:p w:rsidR="000868A8" w:rsidRPr="0083224F" w:rsidRDefault="000868A8" w:rsidP="000868A8">
      <w:pPr>
        <w:bidi/>
        <w:spacing w:before="100" w:beforeAutospacing="1" w:after="165" w:line="240" w:lineRule="auto"/>
        <w:rPr>
          <w:rFonts w:ascii="Times New Roman" w:eastAsia="Times New Roman" w:hAnsi="Times New Roman" w:cs="B Nazanin"/>
          <w:color w:val="000000" w:themeColor="text1"/>
          <w:sz w:val="28"/>
          <w:szCs w:val="28"/>
          <w:rtl/>
        </w:rPr>
      </w:pPr>
      <w:r w:rsidRPr="0083224F">
        <w:rPr>
          <w:rFonts w:ascii="Calibri" w:eastAsia="Times New Roman" w:hAnsi="Calibri" w:cs="B Nazanin" w:hint="cs"/>
          <w:b/>
          <w:bCs/>
          <w:color w:val="000000" w:themeColor="text1"/>
          <w:sz w:val="28"/>
          <w:szCs w:val="28"/>
          <w:rtl/>
          <w:lang w:bidi="fa-IR"/>
        </w:rPr>
        <w:lastRenderedPageBreak/>
        <w:t>فعالیت‌های اجتماعی اقتصادی</w:t>
      </w:r>
    </w:p>
    <w:p w:rsidR="000868A8" w:rsidRPr="0083224F" w:rsidRDefault="000868A8" w:rsidP="000868A8">
      <w:pPr>
        <w:numPr>
          <w:ilvl w:val="0"/>
          <w:numId w:val="5"/>
        </w:numPr>
        <w:bidi/>
        <w:spacing w:before="100" w:beforeAutospacing="1" w:after="165" w:line="240" w:lineRule="auto"/>
        <w:ind w:right="720"/>
        <w:rPr>
          <w:rFonts w:ascii="Times New Roman" w:eastAsia="Times New Roman" w:hAnsi="Times New Roman" w:cs="B Nazanin"/>
          <w:color w:val="000000" w:themeColor="text1"/>
          <w:sz w:val="28"/>
          <w:szCs w:val="28"/>
          <w:rtl/>
        </w:rPr>
      </w:pPr>
      <w:r w:rsidRPr="0083224F">
        <w:rPr>
          <w:rFonts w:ascii="Calibri" w:eastAsia="Times New Roman" w:hAnsi="Calibri" w:cs="B Nazanin" w:hint="cs"/>
          <w:color w:val="000000" w:themeColor="text1"/>
          <w:sz w:val="28"/>
          <w:szCs w:val="28"/>
          <w:rtl/>
          <w:lang w:bidi="fa-IR"/>
        </w:rPr>
        <w:t>درآمد قرارداد‌ها و مشاوره‌ها: از تقسیم میانگین درآمد حاصل از قراردادها و مشاوره‌‌ها به میانگین کل بودجه دانشگاه به دست می‌آید (وزن ۵/۲).</w:t>
      </w:r>
    </w:p>
    <w:p w:rsidR="000868A8" w:rsidRPr="0083224F" w:rsidRDefault="000868A8" w:rsidP="000868A8">
      <w:pPr>
        <w:numPr>
          <w:ilvl w:val="0"/>
          <w:numId w:val="5"/>
        </w:numPr>
        <w:bidi/>
        <w:spacing w:before="100" w:beforeAutospacing="1" w:after="165" w:line="240" w:lineRule="auto"/>
        <w:ind w:right="720"/>
        <w:rPr>
          <w:rFonts w:ascii="Times New Roman" w:eastAsia="Times New Roman" w:hAnsi="Times New Roman" w:cs="B Nazanin"/>
          <w:color w:val="000000" w:themeColor="text1"/>
          <w:sz w:val="28"/>
          <w:szCs w:val="28"/>
        </w:rPr>
      </w:pPr>
      <w:r w:rsidRPr="0083224F">
        <w:rPr>
          <w:rFonts w:ascii="Calibri" w:eastAsia="Times New Roman" w:hAnsi="Calibri" w:cs="B Nazanin" w:hint="cs"/>
          <w:color w:val="000000" w:themeColor="text1"/>
          <w:sz w:val="28"/>
          <w:szCs w:val="28"/>
          <w:rtl/>
          <w:lang w:bidi="fa-IR"/>
        </w:rPr>
        <w:t>دوره‌های بازآموزی: تعداد دوره‌های آموزشی حضوری یا مجازی در دانشگاه (وزن ۱).</w:t>
      </w:r>
    </w:p>
    <w:p w:rsidR="000868A8" w:rsidRPr="0083224F" w:rsidRDefault="000868A8" w:rsidP="000868A8">
      <w:pPr>
        <w:numPr>
          <w:ilvl w:val="0"/>
          <w:numId w:val="5"/>
        </w:numPr>
        <w:bidi/>
        <w:spacing w:before="100" w:beforeAutospacing="1" w:after="165" w:line="240" w:lineRule="auto"/>
        <w:ind w:right="720"/>
        <w:rPr>
          <w:rFonts w:ascii="Times New Roman" w:eastAsia="Times New Roman" w:hAnsi="Times New Roman" w:cs="B Nazanin"/>
          <w:color w:val="000000" w:themeColor="text1"/>
          <w:sz w:val="28"/>
          <w:szCs w:val="28"/>
        </w:rPr>
      </w:pPr>
      <w:r w:rsidRPr="0083224F">
        <w:rPr>
          <w:rFonts w:ascii="Calibri" w:eastAsia="Times New Roman" w:hAnsi="Calibri" w:cs="B Nazanin" w:hint="cs"/>
          <w:color w:val="000000" w:themeColor="text1"/>
          <w:sz w:val="28"/>
          <w:szCs w:val="28"/>
          <w:rtl/>
          <w:lang w:bidi="fa-IR"/>
        </w:rPr>
        <w:t>برنامه‌های کارآفرینی و ارتباط با صنعت: این شاخص دوره‌های کارآفرینی دانشگاه را مورد بررسی قرار می‌دهد. از تقسیم تعداد دانشجویانی که در این دوره‌ها شرکت کرده‌اند برمیانگین کل دانشجویان در سال تحصیلی به دست می‌آید (وزن ۱).</w:t>
      </w:r>
    </w:p>
    <w:p w:rsidR="000868A8" w:rsidRPr="0083224F" w:rsidRDefault="000868A8" w:rsidP="000868A8">
      <w:pPr>
        <w:numPr>
          <w:ilvl w:val="0"/>
          <w:numId w:val="5"/>
        </w:numPr>
        <w:bidi/>
        <w:spacing w:before="100" w:beforeAutospacing="1" w:after="165" w:line="240" w:lineRule="auto"/>
        <w:ind w:right="720"/>
        <w:rPr>
          <w:rFonts w:ascii="Times New Roman" w:eastAsia="Times New Roman" w:hAnsi="Times New Roman" w:cs="B Nazanin"/>
          <w:color w:val="000000" w:themeColor="text1"/>
          <w:sz w:val="28"/>
          <w:szCs w:val="28"/>
        </w:rPr>
      </w:pPr>
      <w:r w:rsidRPr="0083224F">
        <w:rPr>
          <w:rFonts w:ascii="Calibri" w:eastAsia="Times New Roman" w:hAnsi="Calibri" w:cs="B Nazanin" w:hint="cs"/>
          <w:color w:val="000000" w:themeColor="text1"/>
          <w:sz w:val="28"/>
          <w:szCs w:val="28"/>
          <w:rtl/>
          <w:lang w:bidi="fa-IR"/>
        </w:rPr>
        <w:t>تعداد مراکز رشد (وزن ۵/۰).</w:t>
      </w:r>
    </w:p>
    <w:p w:rsidR="000868A8" w:rsidRPr="0083224F" w:rsidRDefault="000868A8" w:rsidP="000868A8">
      <w:pPr>
        <w:bidi/>
        <w:spacing w:after="0" w:line="240" w:lineRule="auto"/>
        <w:rPr>
          <w:rFonts w:ascii="Times New Roman" w:eastAsia="Times New Roman" w:hAnsi="Times New Roman" w:cs="B Nazanin"/>
          <w:color w:val="000000" w:themeColor="text1"/>
          <w:sz w:val="28"/>
          <w:szCs w:val="28"/>
        </w:rPr>
      </w:pPr>
    </w:p>
    <w:p w:rsidR="00B950D7" w:rsidRPr="0083224F" w:rsidRDefault="00050311" w:rsidP="003C2BE5">
      <w:pPr>
        <w:bidi/>
        <w:rPr>
          <w:rFonts w:cs="B Nazanin"/>
          <w:color w:val="000000" w:themeColor="text1"/>
          <w:sz w:val="28"/>
          <w:szCs w:val="28"/>
        </w:rPr>
      </w:pPr>
      <w:hyperlink r:id="rId5" w:history="1">
        <w:r w:rsidR="00823962" w:rsidRPr="0083224F">
          <w:rPr>
            <w:rStyle w:val="Hyperlink"/>
            <w:rFonts w:cs="B Nazanin"/>
            <w:color w:val="000000" w:themeColor="text1"/>
            <w:sz w:val="28"/>
            <w:szCs w:val="28"/>
          </w:rPr>
          <w:t>https://wur.isc.ac/Home/WorldIslamicUnivRankings</w:t>
        </w:r>
      </w:hyperlink>
      <w:r w:rsidR="00823962" w:rsidRPr="0083224F">
        <w:rPr>
          <w:rFonts w:cs="B Nazanin"/>
          <w:color w:val="000000" w:themeColor="text1"/>
          <w:sz w:val="28"/>
          <w:szCs w:val="28"/>
        </w:rPr>
        <w:t>?</w:t>
      </w:r>
    </w:p>
    <w:sectPr w:rsidR="00B950D7" w:rsidRPr="008322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A0A"/>
    <w:multiLevelType w:val="multilevel"/>
    <w:tmpl w:val="053A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21825"/>
    <w:multiLevelType w:val="multilevel"/>
    <w:tmpl w:val="DC204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B2745C"/>
    <w:multiLevelType w:val="multilevel"/>
    <w:tmpl w:val="8848C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5878A7"/>
    <w:multiLevelType w:val="multilevel"/>
    <w:tmpl w:val="C0AAC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0E1BD3"/>
    <w:multiLevelType w:val="multilevel"/>
    <w:tmpl w:val="64CAF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A8"/>
    <w:rsid w:val="00050311"/>
    <w:rsid w:val="000868A8"/>
    <w:rsid w:val="003C2BE5"/>
    <w:rsid w:val="005B2CDE"/>
    <w:rsid w:val="00823962"/>
    <w:rsid w:val="0083224F"/>
    <w:rsid w:val="009C0922"/>
    <w:rsid w:val="00F71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C1268-26AD-4FFC-A84D-DF128314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68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0868A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8A8"/>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0868A8"/>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0868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3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473783">
      <w:bodyDiv w:val="1"/>
      <w:marLeft w:val="0"/>
      <w:marRight w:val="0"/>
      <w:marTop w:val="0"/>
      <w:marBottom w:val="0"/>
      <w:divBdr>
        <w:top w:val="none" w:sz="0" w:space="0" w:color="auto"/>
        <w:left w:val="none" w:sz="0" w:space="0" w:color="auto"/>
        <w:bottom w:val="none" w:sz="0" w:space="0" w:color="auto"/>
        <w:right w:val="none" w:sz="0" w:space="0" w:color="auto"/>
      </w:divBdr>
      <w:divsChild>
        <w:div w:id="104471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ur.isc.ac/Home/WorldIslamicUnivRank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SemnanUniversity</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p.kashani</dc:creator>
  <cp:keywords/>
  <dc:description/>
  <cp:lastModifiedBy>p.kashani</cp:lastModifiedBy>
  <cp:revision>6</cp:revision>
  <dcterms:created xsi:type="dcterms:W3CDTF">2021-10-03T09:21:00Z</dcterms:created>
  <dcterms:modified xsi:type="dcterms:W3CDTF">2021-10-09T09:28:00Z</dcterms:modified>
</cp:coreProperties>
</file>